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中国西部科技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val="en-US" w:eastAsia="zh-CN"/>
        </w:rPr>
        <w:t>创新港科教版块综合能源工程项目外电源工程设计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中国西部科技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创新港科教版块综合能源工程项目外电源工程设计服务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项目概算</w:t>
            </w:r>
            <w:bookmarkStart w:id="1" w:name="_GoBack"/>
            <w:bookmarkEnd w:id="1"/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1500万元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446BE1"/>
    <w:rsid w:val="1F081963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1E443EC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卿本佳人</cp:lastModifiedBy>
  <cp:lastPrinted>2017-04-12T02:56:00Z</cp:lastPrinted>
  <dcterms:modified xsi:type="dcterms:W3CDTF">2019-01-23T06:40:46Z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