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472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560" w:lineRule="exact"/>
        <w:ind w:left="471"/>
        <w:jc w:val="center"/>
        <w:rPr>
          <w:rFonts w:hint="eastAsia" w:ascii="宋体" w:hAnsi="宋体" w:eastAsia="微软雅黑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西部云谷物业销售策划服务内容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及要求</w:t>
      </w:r>
    </w:p>
    <w:p>
      <w:pPr>
        <w:tabs>
          <w:tab w:val="left" w:pos="636"/>
        </w:tabs>
        <w:spacing w:line="400" w:lineRule="exact"/>
        <w:ind w:left="472"/>
        <w:jc w:val="left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ab/>
      </w:r>
      <w:bookmarkStart w:id="0" w:name="_GoBack"/>
      <w:bookmarkEnd w:id="0"/>
    </w:p>
    <w:p>
      <w:pPr>
        <w:tabs>
          <w:tab w:val="left" w:pos="636"/>
        </w:tabs>
        <w:spacing w:line="400" w:lineRule="exact"/>
        <w:ind w:left="472"/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一、服务内容</w:t>
      </w:r>
    </w:p>
    <w:p>
      <w:pPr>
        <w:spacing w:line="400" w:lineRule="exact"/>
        <w:ind w:left="47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1.主动参与广告策划、协助承办公关促销及整合推广活动等：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400" w:lineRule="exact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提供营销策略与项目全案广告整合传播策略方面的咨询及建议；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400" w:lineRule="exact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根据项目销售情况和甲方各阶段的推广策略，提供各阶段广告活动的策划、创意设计和媒体执行；</w:t>
      </w:r>
    </w:p>
    <w:p>
      <w:pPr>
        <w:spacing w:line="400" w:lineRule="exact"/>
        <w:ind w:left="47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③ 各种媒体计划的分析拟定与媒体执行日程的建议、监管；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④ 协助甲方举行项目各类公关和促销活动。</w:t>
      </w:r>
    </w:p>
    <w:p>
      <w:pPr>
        <w:spacing w:line="400" w:lineRule="exact"/>
        <w:ind w:firstLine="471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2.创意设计及制作执行等：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 项目视觉识别系统的设计规范及应用；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项目销售现场、工地现场整体形象包装设计、制作执行；</w:t>
      </w:r>
    </w:p>
    <w:p>
      <w:pPr>
        <w:spacing w:line="400" w:lineRule="exact"/>
        <w:ind w:left="855" w:leftChars="225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 创意并设计项目各类广告（平面广告、户外广告等），并根据甲方通知时间提交方案；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④ 活动宣传资料（展场、展板、看板、DM单、海报等）创意设计和制作执行。</w:t>
      </w:r>
    </w:p>
    <w:p>
      <w:pPr>
        <w:spacing w:line="400" w:lineRule="exact"/>
        <w:ind w:firstLine="471" w:firstLineChars="196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3.宣传资料的监督：</w:t>
      </w:r>
    </w:p>
    <w:p>
      <w:pPr>
        <w:spacing w:line="40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对项目各种制作工作（包括宣传资料的印刷、VI品制作、卖场展场等的包装）进行勘样、监制和监理。</w:t>
      </w:r>
    </w:p>
    <w:p>
      <w:pPr>
        <w:spacing w:line="400" w:lineRule="exact"/>
        <w:ind w:firstLine="471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４.营销策划服务：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①营销活动具体执行方案建议，主要内容：蓄客方式、开盘方式、营销活动建议等；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指导营销活动实施主要内容：价格策略、核心均价、价格表，协助完成入市营销方案；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③协助完成销售合同、认购协议、运营协议等销售文件类工作。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服务内容的要求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在为甲方提供服务时，甲方会在服务推进过程中对成果进行考量，按照当时物业销售策划的实际需求对未进行的服务内容进行选择。</w:t>
      </w:r>
    </w:p>
    <w:p>
      <w:pPr>
        <w:numPr>
          <w:ilvl w:val="0"/>
          <w:numId w:val="2"/>
        </w:numPr>
        <w:spacing w:line="400" w:lineRule="exact"/>
        <w:ind w:left="0" w:leftChars="0" w:firstLine="480" w:firstLineChars="20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报价方式</w:t>
      </w:r>
    </w:p>
    <w:p>
      <w:pPr>
        <w:numPr>
          <w:ilvl w:val="0"/>
          <w:numId w:val="0"/>
        </w:numPr>
        <w:spacing w:line="400" w:lineRule="exact"/>
        <w:ind w:leftChars="200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报价单按照服务内容进行分项报价。</w:t>
      </w:r>
    </w:p>
    <w:p>
      <w:pPr>
        <w:numPr>
          <w:ilvl w:val="0"/>
          <w:numId w:val="2"/>
        </w:numPr>
        <w:spacing w:line="400" w:lineRule="exact"/>
        <w:ind w:left="0" w:leftChars="0" w:firstLine="480" w:firstLineChars="200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支付方式和时间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甲方依据实际完成的服务项，按三个月为一个季度向乙方支付相应的服务费用，无预付款支付形式。</w:t>
      </w:r>
    </w:p>
    <w:p>
      <w:pPr>
        <w:numPr>
          <w:ilvl w:val="0"/>
          <w:numId w:val="0"/>
        </w:numPr>
        <w:spacing w:line="400" w:lineRule="exact"/>
        <w:ind w:leftChars="200"/>
        <w:rPr>
          <w:rFonts w:hint="eastAsia" w:ascii="宋体" w:hAnsi="宋体"/>
          <w:b/>
          <w:bCs/>
          <w:sz w:val="24"/>
          <w:lang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 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0D6CE6"/>
    <w:multiLevelType w:val="singleLevel"/>
    <w:tmpl w:val="E40D6C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723182"/>
    <w:multiLevelType w:val="multilevel"/>
    <w:tmpl w:val="0C723182"/>
    <w:lvl w:ilvl="0" w:tentative="0">
      <w:start w:val="1"/>
      <w:numFmt w:val="decimalEnclosedCircle"/>
      <w:lvlText w:val="%1"/>
      <w:lvlJc w:val="left"/>
      <w:pPr>
        <w:tabs>
          <w:tab w:val="left" w:pos="832"/>
        </w:tabs>
        <w:ind w:left="832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1312"/>
        </w:tabs>
        <w:ind w:left="131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2"/>
        </w:tabs>
        <w:ind w:left="173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2"/>
        </w:tabs>
        <w:ind w:left="215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2"/>
        </w:tabs>
        <w:ind w:left="257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2"/>
        </w:tabs>
        <w:ind w:left="299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2"/>
        </w:tabs>
        <w:ind w:left="341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2"/>
        </w:tabs>
        <w:ind w:left="383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2"/>
        </w:tabs>
        <w:ind w:left="425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B63C95"/>
    <w:rsid w:val="00D31D50"/>
    <w:rsid w:val="00D77CD5"/>
    <w:rsid w:val="00E55DC5"/>
    <w:rsid w:val="00FE5CD4"/>
    <w:rsid w:val="1B05362B"/>
    <w:rsid w:val="222065AE"/>
    <w:rsid w:val="5C4F5363"/>
    <w:rsid w:val="60E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178</TotalTime>
  <ScaleCrop>false</ScaleCrop>
  <LinksUpToDate>false</LinksUpToDate>
  <CharactersWithSpaces>512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Administrator.PCOS-1805040947</dc:creator>
  <cp:lastModifiedBy>寥若尘埃</cp:lastModifiedBy>
  <dcterms:modified xsi:type="dcterms:W3CDTF">2018-08-24T08:43:43Z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