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商铺租赁竞价表</w:t>
      </w:r>
    </w:p>
    <w:tbl>
      <w:tblPr>
        <w:tblStyle w:val="4"/>
        <w:tblW w:w="8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5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竞租人（单位）名称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登记铺号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登记用途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竞价金额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基准价</w:t>
            </w:r>
          </w:p>
        </w:tc>
        <w:tc>
          <w:tcPr>
            <w:tcW w:w="5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康定和园B类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lang w:val="en-US" w:eastAsia="zh-CN"/>
              </w:rPr>
              <w:t>一层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45元/㎡·月，二、三层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5元/㎡·月；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lang w:val="en-US" w:eastAsia="zh-CN"/>
              </w:rPr>
              <w:t>C类一层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50元/㎡·月，二、三层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元/㎡·月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2B2B2B"/>
                <w:spacing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1、该表中竞租人（单位）名称、登记铺号、登记用途均须与原递交的商铺租赁登记表保持一致，凡不一致者均视为无效竞价表，取消竞价资格。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2、请各竞租人（单位）仔细核对本公告第二项用途类别后填写此表。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B类竞价金额一层必须≥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  <w:t>45元/㎡·月，二、三层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≥3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  <w:t>5元/㎡·月；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C类竞价金额一层必须≥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  <w:t>50元/㎡·月，二、三层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≥40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  <w:t>元/㎡·月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  <w:t>。凡是低于基准价的均视为无效竞价，取消竞租资格。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竞价人身份证（企业营业执照）复印件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vertAlign w:val="baseli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36110"/>
    <w:rsid w:val="2DD36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2018-06-26T09:03:00Z</dcterms:created>
  <dc:creator>╮春花退去要入夏 </dc:creator>
  <cp:lastModifiedBy>╮春花退去要入夏 </cp:lastModifiedBy>
  <dcterms:modified xsi:type="dcterms:W3CDTF">2018-06-26T09:05:47Z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