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firstLine="640" w:firstLineChars="200"/>
        <w:jc w:val="center"/>
        <w:rPr>
          <w:rFonts w:hint="eastAsia" w:asciiTheme="majorEastAsia" w:hAnsiTheme="majorEastAsia" w:eastAsiaTheme="majorEastAsia" w:cstheme="majorEastAsia"/>
          <w:color w:val="2B2B2B"/>
          <w:kern w:val="0"/>
          <w:sz w:val="32"/>
          <w:szCs w:val="32"/>
          <w:lang w:val="en-US"/>
        </w:rPr>
      </w:pPr>
      <w:r>
        <w:rPr>
          <w:rFonts w:hint="eastAsia" w:asciiTheme="majorEastAsia" w:hAnsiTheme="majorEastAsia" w:eastAsiaTheme="majorEastAsia" w:cstheme="majorEastAsia"/>
          <w:kern w:val="2"/>
          <w:sz w:val="32"/>
          <w:szCs w:val="32"/>
          <w:lang w:val="en-US" w:eastAsia="zh-CN" w:bidi="ar"/>
        </w:rPr>
        <w:t>专项法律服务内容</w:t>
      </w:r>
      <w:bookmarkStart w:id="0" w:name="_GoBack"/>
      <w:bookmarkEnd w:id="0"/>
      <w:r>
        <w:rPr>
          <w:rFonts w:hint="eastAsia" w:asciiTheme="majorEastAsia" w:hAnsiTheme="majorEastAsia" w:eastAsiaTheme="majorEastAsia" w:cstheme="majorEastAsia"/>
          <w:kern w:val="2"/>
          <w:sz w:val="32"/>
          <w:szCs w:val="32"/>
          <w:lang w:val="en-US" w:eastAsia="zh-CN" w:bidi="ar"/>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一、资管公司工商设立阶段的法律服务</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1、协助拟定或修改有关资管公司设立时所需的投资协议和章程等设立文件。从出资者责任、出资方式、企业设立程序的合法合规性、相关的法律责任等多方面进行法律审核和法律咨询服务，规范资管公司的设立，降低法律风险。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2、参与资管公司投资方关于公司设立的相关磋商和讨论，指导设立主体依法设立公司，在适当平衡各方权益的基础上最大限度的保护公司利益。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3、代为拟订或修改投资协议、章程、公司规章制度等文书，协助客户和其他设立主体对该等文书进行分析讨论，从源头上保障资管公司设立过程的合法、规范。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4、指导设立主体依法依章程履行出资义务，办理相关的出资资产权属变更登记等手续。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5、协助设立主体依法、及时地解决企业设立过程中存在的委托持股、隐名投资、借贷投资、股东资格缺陷等各类投资问题，及早消除可能导致日后资管公司纷争的各类障碍。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6、对设立资管公司的合作方进行法律尽职调查，对合作方的历史沿革合法合规性、行政处罚及涉诉情况进行资料收集和法律审查，并出具尽调报告。</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二、资管公司管理人登记法律服务</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1、拟定登记管理人必备制度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①</w:t>
      </w:r>
      <w:r>
        <w:rPr>
          <w:rFonts w:hint="eastAsia" w:ascii="宋体" w:hAnsi="宋体" w:eastAsia="宋体" w:cs="宋体"/>
          <w:kern w:val="2"/>
          <w:sz w:val="24"/>
          <w:szCs w:val="24"/>
          <w:lang w:val="en-US" w:eastAsia="zh-CN" w:bidi="ar"/>
        </w:rPr>
        <w:tab/>
        <w:t>运营风险控制制度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②信息披露制度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③机构内部交易记录制度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④防范内幕交易、利益冲突的投资交易制度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⑤合格投资者风险揭示制度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⑥合格投资者内部审核流程及相关制度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⑦私募基金宣传推介、募集相关规范制度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⑧其他制度（如需）</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2、协助资管公司通过中国证券投资基金业协会“从业人员管理平台 ”窗口进行高管资格审查及备案。</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3、协助资管公司完成中国证券投资基金业协会“资产管理业务综合报送平台”信息填报及审查。</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4、出具资管公司私募基金管理人登记法律意见书。</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按照私募管理人登记法律意见书指引，对中国证券投资基金业协会要求审查的内容发表明确的法律意见，制作工作底稿并留存，独立、客观、公正地出具《法律意见书》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三、基金设立/备案法律服务</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1、对基金合作方进行历史沿革合法合规性、行政处罚及涉诉情况等进行资料收集和法律审查，并出具尽调报告。</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2、参与基金架构及基金合同（合伙协议），管理架构的拟定及谈判。</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对基金拟投资企业（目标项目）进行尽调，针对拟投资企业的主体、股权结构、历史沿革合法合规性情况，行政处罚及涉诉情况，重大债权债务情况，重大合同履行情况及重大资产的权利状况等等方面进行法律调查，并出具法律尽调报告。</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4、配合公司在中国证券投资基金业协会系统中完成基金双管理人的变更工作。</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5、参加基金投资决策委员会会议，提供法律及投资相关的咨询及建议。</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6、就基金的募集、投资、管理、推出等全程提供法律咨询及建议。</w:t>
      </w:r>
    </w:p>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B5128"/>
    <w:rsid w:val="571B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2018-03-01T02:39:00Z</dcterms:created>
  <dc:creator>Anne </dc:creator>
  <cp:lastModifiedBy>Anne </cp:lastModifiedBy>
  <cp:lastPrinted>2018-03-01T02:39:48Z</cp:lastPrinted>
  <dcterms:modified xsi:type="dcterms:W3CDTF">2018-03-01T02:42:44Z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